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  <w:t xml:space="preserve">Выписка из приложений к приказам </w:t>
      </w:r>
    </w:p>
    <w:p>
      <w:pPr>
        <w:pStyle w:val="Normal"/>
        <w:jc w:val="right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  <w:t xml:space="preserve">ФБУЗ «Центр  гигиены и эпидемиологи  </w:t>
      </w:r>
    </w:p>
    <w:p>
      <w:pPr>
        <w:pStyle w:val="Normal"/>
        <w:jc w:val="right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  <w:t xml:space="preserve">в Вологодской области» </w:t>
      </w:r>
    </w:p>
    <w:p>
      <w:pPr>
        <w:pStyle w:val="Normal"/>
        <w:jc w:val="right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  <w:t xml:space="preserve">№№ </w:t>
      </w:r>
      <w:r>
        <w:rPr>
          <w:rFonts w:cs="Times New Roman" w:ascii="Times New Roman" w:hAnsi="Times New Roman"/>
          <w:i/>
        </w:rPr>
        <w:t xml:space="preserve">463,464,465, 467 от 07.11.2023 г., № 387 от 15.09.2023 г., </w:t>
      </w:r>
    </w:p>
    <w:p>
      <w:pPr>
        <w:pStyle w:val="Normal"/>
        <w:jc w:val="right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  <w:t xml:space="preserve">№ </w:t>
      </w:r>
      <w:r>
        <w:rPr>
          <w:rFonts w:cs="Times New Roman" w:ascii="Times New Roman" w:hAnsi="Times New Roman"/>
          <w:i/>
        </w:rPr>
        <w:t xml:space="preserve">349 от 10.09.2024г., </w:t>
      </w:r>
      <w:r>
        <w:rPr>
          <w:rFonts w:cs="Times New Roman" w:ascii="Times New Roman" w:hAnsi="Times New Roman"/>
          <w:i/>
        </w:rPr>
        <w:t>№  359 от 23.09.2024 г.</w:t>
      </w:r>
    </w:p>
    <w:p>
      <w:pPr>
        <w:pStyle w:val="Normal"/>
        <w:jc w:val="center"/>
        <w:rPr>
          <w:rFonts w:ascii="Times New Roman" w:hAnsi="Times New Roman" w:cs="Times New Roman"/>
          <w:b/>
          <w:color w:themeColor="text1" w:themeTint="a5" w:val="auto"/>
          <w:sz w:val="24"/>
        </w:rPr>
      </w:pPr>
      <w:r>
        <w:rPr>
          <w:rFonts w:cs="Times New Roman" w:ascii="Times New Roman" w:hAnsi="Times New Roman"/>
          <w:b/>
          <w:color w:themeColor="text1" w:themeTint="a5" w:val="auto"/>
          <w:sz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color w:themeColor="text1" w:themeTint="a5" w:val="auto"/>
          <w:sz w:val="24"/>
        </w:rPr>
      </w:pPr>
      <w:r>
        <w:rPr>
          <w:rFonts w:cs="Times New Roman" w:ascii="Times New Roman" w:hAnsi="Times New Roman"/>
          <w:b/>
          <w:color w:themeColor="text1" w:themeTint="a5" w:val="auto"/>
          <w:sz w:val="24"/>
        </w:rPr>
        <w:t>Производственный контроль (смывы, дезинфекционные средства, контроль работы сухожаровых шкафов, автоклавов и дезкамер)</w:t>
      </w:r>
    </w:p>
    <w:p>
      <w:pPr>
        <w:pStyle w:val="Normal"/>
        <w:jc w:val="center"/>
        <w:rPr>
          <w:rFonts w:ascii="Times New Roman" w:hAnsi="Times New Roman" w:cs="Times New Roman"/>
          <w:b/>
          <w:color w:themeColor="text1" w:themeTint="a5" w:val="auto"/>
          <w:sz w:val="24"/>
        </w:rPr>
      </w:pPr>
      <w:r>
        <w:rPr>
          <w:rFonts w:cs="Times New Roman" w:ascii="Times New Roman" w:hAnsi="Times New Roman"/>
          <w:b/>
          <w:color w:themeColor="text1" w:themeTint="a5" w:val="auto"/>
          <w:sz w:val="24"/>
        </w:rPr>
        <w:t>филиал ФБУЗ «Центр гигиены и эпидемиологии в Вологодской области» в г. Тотьма</w:t>
      </w:r>
    </w:p>
    <w:tbl>
      <w:tblPr>
        <w:tblW w:w="9340" w:type="dxa"/>
        <w:jc w:val="left"/>
        <w:tblInd w:w="2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995"/>
        <w:gridCol w:w="6533"/>
        <w:gridCol w:w="1812"/>
      </w:tblGrid>
      <w:tr>
        <w:trPr>
          <w:trHeight w:val="958" w:hRule="atLeast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65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  <w:t>Наименование исследования, услуги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  <w:t>Цена 1 анализа без НДС, (руб.)</w:t>
            </w:r>
          </w:p>
        </w:tc>
      </w:tr>
      <w:tr>
        <w:trPr>
          <w:trHeight w:val="315" w:hRule="atLeast"/>
        </w:trPr>
        <w:tc>
          <w:tcPr>
            <w:tcW w:w="934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i/>
                <w:iCs/>
                <w:color w:themeColor="text1" w:themeTint="a5" w:val="auto"/>
                <w:sz w:val="24"/>
                <w:szCs w:val="24"/>
                <w:u w:val="single"/>
              </w:rPr>
              <w:t>ОТБОР  ПРОБ  ДЛЯ  ЛАБОРАТОРНЫХ  ИССЛЕДОВАНИЙ: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themeColor="text1" w:themeTint="a5"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1 проба продукции (пищевая и непищевая)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430,00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themeColor="text1" w:themeTint="a5" w:val="auto"/>
                <w:sz w:val="24"/>
                <w:szCs w:val="24"/>
                <w:lang w:eastAsia="ru-RU"/>
              </w:rPr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- каждая последующая на одном объекте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270,00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themeColor="text1" w:themeTint="a5"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1 проба воды питьевая / водопроводная / бассейнов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430,00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themeColor="text1" w:themeTint="a5" w:val="auto"/>
                <w:sz w:val="24"/>
                <w:szCs w:val="24"/>
                <w:lang w:eastAsia="ru-RU"/>
              </w:rPr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- каждая последующая на одном объекте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270,00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themeColor="text1" w:themeTint="a5"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1 проба воды сточная / поверхностных водоемов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550,00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themeColor="text1" w:themeTint="a5"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1 проба воздуха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350,00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themeColor="text1" w:themeTint="a5"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до 5 проб смывов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430,00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themeColor="text1" w:themeTint="a5" w:val="auto"/>
                <w:sz w:val="24"/>
                <w:szCs w:val="24"/>
                <w:lang w:eastAsia="ru-RU"/>
              </w:rPr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- каждый последующий смыв на одном объекте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50,00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themeColor="text1" w:themeTint="a5"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1 материал на стерильность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430,00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themeColor="text1" w:themeTint="a5" w:val="auto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Биотесты 1 стерилизующий аппарат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430,00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themeColor="text1" w:themeTint="a5" w:val="auto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rPr>
                <w:rFonts w:ascii="Times New Roman" w:hAnsi="Times New Roman" w:eastAsia="Times New Roman" w:cs="Times New Roman"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themeColor="text1" w:themeTint="a5" w:val="auto"/>
                <w:sz w:val="24"/>
                <w:szCs w:val="24"/>
                <w:lang w:eastAsia="ru-RU"/>
              </w:rPr>
              <w:t>Отбор материала на исследование (из вены, мазок)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right"/>
              <w:rPr>
                <w:rFonts w:ascii="Times New Roman" w:hAnsi="Times New Roman" w:eastAsia="Times New Roman" w:cs="Times New Roman"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themeColor="text1" w:themeTint="a5" w:val="auto"/>
                <w:sz w:val="24"/>
                <w:szCs w:val="24"/>
                <w:lang w:eastAsia="ru-RU"/>
              </w:rPr>
              <w:t>154,00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themeColor="text1" w:themeTint="a5" w:val="auto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b/>
                <w:i/>
                <w:i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i/>
                <w:color w:themeColor="text1" w:themeTint="a5" w:val="auto"/>
                <w:sz w:val="24"/>
                <w:szCs w:val="24"/>
              </w:rPr>
              <w:t>Оценка результатов лабораторных испытаний почвы, воды, пищевых продуктов, товаров народного потребления, смывов, биотестов, стерильности материала и инструментов (в форме справки)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themeColor="text1" w:themeTint="a5" w:val="auto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- до 5  показателей (точек) (включительно)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</w:rPr>
              <w:t>139,50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themeColor="text1" w:themeTint="a5" w:val="auto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- более 5 (точек) показателей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</w:rPr>
              <w:t>279,00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themeColor="text1" w:themeTint="a5"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b/>
                <w:i/>
                <w:i/>
                <w:iCs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i/>
                <w:iCs/>
                <w:color w:themeColor="text1" w:themeTint="a5" w:val="auto"/>
                <w:sz w:val="24"/>
              </w:rPr>
              <w:t>Оценка результатов лабораторнных испытаний физических факторов ионизирующей и неионизирующей природы, атмосферного воздуха и воздуха рабочей зоны (в форме справки за 1 протокол)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</w:rPr>
              <w:t>279,00</w:t>
            </w:r>
          </w:p>
        </w:tc>
      </w:tr>
      <w:tr>
        <w:trPr>
          <w:trHeight w:val="315" w:hRule="atLeast"/>
        </w:trPr>
        <w:tc>
          <w:tcPr>
            <w:tcW w:w="934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i/>
                <w:i/>
                <w:color w:themeColor="text1" w:themeTint="a5" w:val="auto"/>
                <w:sz w:val="24"/>
                <w:szCs w:val="24"/>
                <w:u w:val="singl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color w:themeColor="text1" w:themeTint="a5" w:val="auto"/>
                <w:sz w:val="24"/>
                <w:szCs w:val="28"/>
                <w:u w:val="single"/>
                <w:lang w:eastAsia="ru-RU"/>
              </w:rPr>
              <w:t xml:space="preserve">БАКТЕРИОЛОГИЧЕСКИЕ ИССЛЕДОВАНИЯ:  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  <w:t>Смывы на: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ОМЧ*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189,26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БГКП с использованием индикатора сред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126,17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БГКП с использованием других сред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252,34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ОКБ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252,34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Золотистый стафилококк (Staphylococcus aureus)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378,51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Сальмонеллы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567,77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11.7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Бактерии рода Yersinia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693,94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11.8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Условно-патогенную микрофлору, в т. ч. НФГОБ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2 271,06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11.9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Плесневые и дрожжевые грибы*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315,43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Бактерии рода Proteus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378,51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Синегнойную палочку*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378,51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Листерии*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504,68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  <w:t>Материал на стерильность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Перевязочный материал и инструментарий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567,77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Шовный материал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757,02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Исслед. рук хирурга и операционного поля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378,51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Исслед. крупного инструментария методом смывов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441,60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  <w:t>Лечебная грязь*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Общее микробное число (ОМЧ)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126,17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Бактерии группы кишечной палочки (БГКП)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567,77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13.3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Сульфитредуцирующие клостридии (С.perfingens)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378,51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themeColor="text1" w:themeTint="a5" w:val="auto"/>
                <w:sz w:val="24"/>
                <w:szCs w:val="24"/>
                <w:lang w:eastAsia="ru-RU"/>
              </w:rPr>
              <w:t>Контроль работы сухожаровых шкафов, автоклавов и дезкамер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Подготовка и проведение бактериологического исследования по контролю дезкамер (1 исследование) Staphylococcus aureus, штамм 906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315,43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Подготовка и проведение бактериологического исследования по контролю сухожаровых шкафов и автоклавов (1 исследование) B.licheniformis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403,87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Подготовка и проведение бактериологического исследования по контролю сухожаровых шкафов и автоклавов (1 исследование)  B.stearothermophilus BKM B-718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2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2"/>
              </w:rPr>
              <w:t>441,60</w:t>
            </w:r>
          </w:p>
        </w:tc>
      </w:tr>
      <w:tr>
        <w:trPr>
          <w:trHeight w:val="315" w:hRule="atLeast"/>
        </w:trPr>
        <w:tc>
          <w:tcPr>
            <w:tcW w:w="934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b/>
                <w:i/>
                <w:i/>
                <w:color w:themeColor="text1" w:themeTint="a5" w:val="auto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i/>
                <w:color w:themeColor="text1" w:themeTint="a5" w:val="auto"/>
                <w:sz w:val="24"/>
                <w:szCs w:val="24"/>
                <w:u w:val="single"/>
              </w:rPr>
              <w:t>САНИТАРНО-ГИГИЕНИЧЕСКИЕ ИССЛЕДОВАНИЯ: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color w:themeColor="text1" w:themeTint="a5" w:val="auto"/>
                <w:sz w:val="24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themeTint="a5" w:val="auto"/>
                <w:sz w:val="24"/>
                <w:szCs w:val="22"/>
                <w:lang w:eastAsia="ru-RU"/>
              </w:rPr>
              <w:t>15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color w:themeColor="text1" w:themeTint="a5" w:val="auto"/>
                <w:sz w:val="24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themeTint="a5" w:val="auto"/>
                <w:sz w:val="24"/>
                <w:szCs w:val="22"/>
                <w:lang w:eastAsia="ru-RU"/>
              </w:rPr>
              <w:t>Исследование дезинфицирующих средств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color w:themeColor="text1" w:themeTint="a5" w:val="auto"/>
                <w:sz w:val="24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themeTint="a5" w:val="auto"/>
                <w:sz w:val="24"/>
                <w:szCs w:val="22"/>
                <w:lang w:eastAsia="ru-RU"/>
              </w:rPr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2"/>
                <w:lang w:eastAsia="ru-RU"/>
              </w:rPr>
              <w:t>15.1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2"/>
                <w:lang w:eastAsia="ru-RU"/>
              </w:rPr>
              <w:t>Определение содержания активного хлора в дезинфицирующих средствах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2"/>
                <w:lang w:eastAsia="ru-RU"/>
              </w:rPr>
              <w:t>543,20</w:t>
            </w:r>
          </w:p>
        </w:tc>
      </w:tr>
      <w:tr>
        <w:trPr>
          <w:trHeight w:val="315" w:hRule="atLeast"/>
        </w:trPr>
        <w:tc>
          <w:tcPr>
            <w:tcW w:w="934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b/>
                <w:i/>
                <w:i/>
                <w:color w:themeColor="text1" w:themeTint="a5" w:val="auto"/>
                <w:sz w:val="24"/>
                <w:szCs w:val="24"/>
                <w:u w:val="singl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themeColor="text1" w:themeTint="a5" w:val="auto"/>
                <w:sz w:val="24"/>
                <w:szCs w:val="24"/>
                <w:u w:val="single"/>
                <w:lang w:eastAsia="ru-RU"/>
              </w:rPr>
              <w:t>ИССЛЕДОВАНИЕ ФАКТОРОВ ОКРУЖАЮЩЕЙ СРЕДЫ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Искусственное освещение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329,24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Параметры микроклимата: температура, влажность, скорость движения воздуха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415,06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Параметры микроклимата (температура, влажность)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341,15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Определение шума в производственных условиях (за точку)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702,96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Определение шума в жилых помещениях  и общественных зданиях (с учетом фона) (за точку)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702,96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Определение шума на территории жилой застройки (за точку)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702,96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Определение шума от строительных работ (за точку)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702,96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Определение шума при определении границ санитарно-защитной зоны промышленного предприятия (за точку)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right"/>
              <w:rPr>
                <w:rFonts w:ascii="Times New Roman" w:hAnsi="Times New Roman" w:cs="Times New Roman"/>
                <w:color w:themeColor="text1" w:themeTint="a5"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themeTint="a5" w:val="auto"/>
                <w:sz w:val="24"/>
                <w:szCs w:val="24"/>
              </w:rPr>
              <w:t>702,96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Определение эквивалентного корректированного уровня вибрации, спектрального состава вибрации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711,80</w:t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i/>
                <w:iCs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themeColor="text1" w:themeTint="a5" w:val="auto"/>
                <w:sz w:val="24"/>
                <w:szCs w:val="24"/>
                <w:lang w:eastAsia="ru-RU"/>
              </w:rPr>
              <w:t>Радиологические исследования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</w:r>
          </w:p>
        </w:tc>
      </w:tr>
      <w:tr>
        <w:trPr>
          <w:trHeight w:val="315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5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Измерение гамма-излучения на местности, в жилых и общественных зданиях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Times New Roman" w:hAnsi="Times New Roman" w:eastAsia="Times New Roman" w:cs="Times New Roman"/>
                <w:color w:themeColor="text1" w:themeTint="a5"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themeTint="a5" w:val="auto"/>
                <w:sz w:val="24"/>
                <w:szCs w:val="24"/>
                <w:lang w:eastAsia="ru-RU"/>
              </w:rPr>
              <w:t>217,82</w:t>
            </w:r>
          </w:p>
        </w:tc>
      </w:tr>
    </w:tbl>
    <w:p>
      <w:pPr>
        <w:pStyle w:val="Normal"/>
        <w:rPr>
          <w:rFonts w:ascii="Times New Roman" w:hAnsi="Times New Roman" w:cs="Times New Roman"/>
          <w:i/>
          <w:i/>
          <w:color w:themeColor="text1" w:themeTint="a5" w:val="auto"/>
          <w:sz w:val="24"/>
        </w:rPr>
      </w:pPr>
      <w:r>
        <w:rPr>
          <w:rFonts w:cs="Times New Roman" w:ascii="Times New Roman" w:hAnsi="Times New Roman"/>
          <w:i/>
          <w:color w:themeColor="text1" w:themeTint="a5" w:val="auto"/>
          <w:sz w:val="24"/>
        </w:rPr>
        <w:t>*- вне области аккредитации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Calibri" w:cs="" w:asciiTheme="majorHAnsi" w:cstheme="minorBidi" w:eastAsiaTheme="minorHAnsi" w:hAnsiTheme="majorHAnsi"/>
        <w:color w:themeColor="text1" w:themeTint="a5" w:val="5A5A5A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d2aa8"/>
    <w:pPr>
      <w:widowControl/>
      <w:bidi w:val="0"/>
      <w:spacing w:before="0" w:after="0"/>
      <w:jc w:val="left"/>
    </w:pPr>
    <w:rPr>
      <w:rFonts w:ascii="Cambria" w:hAnsi="Cambria" w:eastAsia="Calibri" w:cs="" w:asciiTheme="majorHAnsi" w:cstheme="minorBidi" w:eastAsiaTheme="minorHAnsi" w:hAnsiTheme="majorHAnsi"/>
      <w:color w:themeColor="text1" w:themeTint="a5" w:val="5A5A5A"/>
      <w:kern w:val="0"/>
      <w:sz w:val="20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semiHidden/>
    <w:unhideWhenUsed/>
    <w:rsid w:val="007e4bda"/>
    <w:rPr>
      <w:color w:themeColor="text1" w:themeTint="a5"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4bda"/>
    <w:rPr>
      <w:color w:themeColor="text1" w:themeTint="a5" w:val="800080"/>
      <w:u w:val="single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f4603c"/>
    <w:rPr>
      <w:sz w:val="16"/>
      <w:szCs w:val="16"/>
    </w:rPr>
  </w:style>
  <w:style w:type="character" w:styleId="Style14" w:customStyle="1">
    <w:name w:val="Текст примечания Знак"/>
    <w:basedOn w:val="DefaultParagraphFont"/>
    <w:link w:val="Annotationtext"/>
    <w:uiPriority w:val="99"/>
    <w:semiHidden/>
    <w:qFormat/>
    <w:rsid w:val="00f4603c"/>
    <w:rPr/>
  </w:style>
  <w:style w:type="character" w:styleId="Style15" w:customStyle="1">
    <w:name w:val="Тема примечания Знак"/>
    <w:basedOn w:val="Style14"/>
    <w:link w:val="Annotationsubject"/>
    <w:uiPriority w:val="99"/>
    <w:semiHidden/>
    <w:qFormat/>
    <w:rsid w:val="00f4603c"/>
    <w:rPr>
      <w:b/>
      <w:bCs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f4603c"/>
    <w:rPr>
      <w:rFonts w:ascii="Tahoma" w:hAnsi="Tahoma" w:cs="Tahoma"/>
      <w:sz w:val="16"/>
      <w:szCs w:val="16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 Fallback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 Devanagari"/>
    </w:rPr>
  </w:style>
  <w:style w:type="paragraph" w:styleId="Font5" w:customStyle="1">
    <w:name w:val="font5"/>
    <w:basedOn w:val="Normal"/>
    <w:qFormat/>
    <w:rsid w:val="007e4bda"/>
    <w:pPr>
      <w:spacing w:beforeAutospacing="1" w:afterAutospacing="1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Font6" w:customStyle="1">
    <w:name w:val="font6"/>
    <w:basedOn w:val="Normal"/>
    <w:qFormat/>
    <w:rsid w:val="007e4bda"/>
    <w:pPr>
      <w:spacing w:beforeAutospacing="1" w:afterAutospacing="1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Font7" w:customStyle="1">
    <w:name w:val="font7"/>
    <w:basedOn w:val="Normal"/>
    <w:qFormat/>
    <w:rsid w:val="007e4bda"/>
    <w:pPr>
      <w:spacing w:beforeAutospacing="1" w:afterAutospacing="1"/>
    </w:pPr>
    <w:rPr>
      <w:rFonts w:ascii="Times New Roman" w:hAnsi="Times New Roman" w:eastAsia="Times New Roman" w:cs="Times New Roman"/>
      <w:color w:themeColor="text1" w:themeTint="a5" w:val="000000"/>
      <w:sz w:val="24"/>
      <w:szCs w:val="24"/>
      <w:lang w:eastAsia="ru-RU"/>
    </w:rPr>
  </w:style>
  <w:style w:type="paragraph" w:styleId="Font8" w:customStyle="1">
    <w:name w:val="font8"/>
    <w:basedOn w:val="Normal"/>
    <w:qFormat/>
    <w:rsid w:val="007e4bda"/>
    <w:pPr>
      <w:spacing w:beforeAutospacing="1" w:afterAutospacing="1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Font9" w:customStyle="1">
    <w:name w:val="font9"/>
    <w:basedOn w:val="Normal"/>
    <w:qFormat/>
    <w:rsid w:val="007e4bda"/>
    <w:pPr>
      <w:spacing w:beforeAutospacing="1" w:afterAutospacing="1"/>
    </w:pPr>
    <w:rPr>
      <w:rFonts w:ascii="Times New Roman" w:hAnsi="Times New Roman" w:eastAsia="Times New Roman" w:cs="Times New Roman"/>
      <w:b/>
      <w:bCs/>
      <w:color w:themeColor="text1" w:themeTint="a5" w:val="000000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7e4bda"/>
    <w:pPr>
      <w:spacing w:beforeAutospacing="1" w:afterAutospacing="1"/>
      <w:textAlignment w:val="top"/>
    </w:pPr>
    <w:rPr>
      <w:rFonts w:ascii="Times New Roman" w:hAnsi="Times New Roman" w:eastAsia="Times New Roman" w:cs="Times New Roman"/>
      <w:color w:themeColor="text1" w:themeTint="a5" w:val="auto"/>
      <w:sz w:val="18"/>
      <w:szCs w:val="18"/>
      <w:lang w:eastAsia="ru-RU"/>
    </w:rPr>
  </w:style>
  <w:style w:type="paragraph" w:styleId="Xl78" w:customStyle="1">
    <w:name w:val="xl78"/>
    <w:basedOn w:val="Normal"/>
    <w:qFormat/>
    <w:rsid w:val="007e4bda"/>
    <w:pPr>
      <w:spacing w:beforeAutospacing="1" w:afterAutospacing="1"/>
      <w:jc w:val="center"/>
      <w:textAlignment w:val="top"/>
    </w:pPr>
    <w:rPr>
      <w:rFonts w:ascii="Times New Roman" w:hAnsi="Times New Roman" w:eastAsia="Times New Roman" w:cs="Times New Roman"/>
      <w:b/>
      <w:bCs/>
      <w:color w:themeColor="text1" w:themeTint="a5" w:val="auto"/>
      <w:sz w:val="18"/>
      <w:szCs w:val="18"/>
      <w:lang w:eastAsia="ru-RU"/>
    </w:rPr>
  </w:style>
  <w:style w:type="paragraph" w:styleId="Xl79" w:customStyle="1">
    <w:name w:val="xl79"/>
    <w:basedOn w:val="Normal"/>
    <w:qFormat/>
    <w:rsid w:val="007e4bda"/>
    <w:pPr>
      <w:spacing w:beforeAutospacing="1" w:afterAutospacing="1"/>
    </w:pPr>
    <w:rPr>
      <w:rFonts w:ascii="Times New Roman" w:hAnsi="Times New Roman" w:eastAsia="Times New Roman" w:cs="Times New Roman"/>
      <w:color w:themeColor="text1" w:themeTint="a5" w:val="auto"/>
      <w:sz w:val="18"/>
      <w:szCs w:val="18"/>
      <w:lang w:eastAsia="ru-RU"/>
    </w:rPr>
  </w:style>
  <w:style w:type="paragraph" w:styleId="Xl80" w:customStyle="1">
    <w:name w:val="xl80"/>
    <w:basedOn w:val="Normal"/>
    <w:qFormat/>
    <w:rsid w:val="007e4bda"/>
    <w:pPr>
      <w:spacing w:beforeAutospacing="1" w:afterAutospacing="1"/>
      <w:jc w:val="center"/>
      <w:textAlignment w:val="top"/>
    </w:pPr>
    <w:rPr>
      <w:rFonts w:ascii="Times New Roman" w:hAnsi="Times New Roman" w:eastAsia="Times New Roman" w:cs="Times New Roman"/>
      <w:color w:themeColor="text1" w:themeTint="a5" w:val="auto"/>
      <w:sz w:val="18"/>
      <w:szCs w:val="18"/>
      <w:lang w:eastAsia="ru-RU"/>
    </w:rPr>
  </w:style>
  <w:style w:type="paragraph" w:styleId="Xl81" w:customStyle="1">
    <w:name w:val="xl81"/>
    <w:basedOn w:val="Normal"/>
    <w:qFormat/>
    <w:rsid w:val="007e4bda"/>
    <w:pPr>
      <w:spacing w:beforeAutospacing="1" w:afterAutospacing="1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7e4bda"/>
    <w:pPr>
      <w:spacing w:beforeAutospacing="1" w:afterAutospacing="1"/>
      <w:jc w:val="right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7e4bda"/>
    <w:pPr>
      <w:spacing w:beforeAutospacing="1" w:afterAutospacing="1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7e4bda"/>
    <w:pPr>
      <w:spacing w:beforeAutospacing="1" w:afterAutospacing="1"/>
      <w:jc w:val="center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7e4bda"/>
    <w:pPr>
      <w:spacing w:beforeAutospacing="1" w:afterAutospacing="1"/>
    </w:pPr>
    <w:rPr>
      <w:rFonts w:ascii="Times New Roman" w:hAnsi="Times New Roman" w:eastAsia="Times New Roman" w:cs="Times New Roman"/>
      <w:color w:themeColor="text1" w:themeTint="a5" w:val="auto"/>
      <w:lang w:eastAsia="ru-RU"/>
    </w:rPr>
  </w:style>
  <w:style w:type="paragraph" w:styleId="Xl86" w:customStyle="1">
    <w:name w:val="xl86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7e4bda"/>
    <w:pPr>
      <w:spacing w:beforeAutospacing="1" w:afterAutospacing="1"/>
      <w:jc w:val="center"/>
      <w:textAlignment w:val="top"/>
    </w:pPr>
    <w:rPr>
      <w:rFonts w:ascii="Times New Roman" w:hAnsi="Times New Roman" w:eastAsia="Times New Roman" w:cs="Times New Roman"/>
      <w:color w:themeColor="text1" w:themeTint="a5" w:val="auto"/>
      <w:sz w:val="18"/>
      <w:szCs w:val="18"/>
      <w:lang w:eastAsia="ru-RU"/>
    </w:rPr>
  </w:style>
  <w:style w:type="paragraph" w:styleId="Xl105" w:customStyle="1">
    <w:name w:val="xl105"/>
    <w:basedOn w:val="Normal"/>
    <w:qFormat/>
    <w:rsid w:val="007e4bda"/>
    <w:pPr>
      <w:spacing w:beforeAutospacing="1" w:afterAutospacing="1"/>
    </w:pPr>
    <w:rPr>
      <w:rFonts w:ascii="Times New Roman" w:hAnsi="Times New Roman" w:eastAsia="Times New Roman" w:cs="Times New Roman"/>
      <w:color w:themeColor="text1" w:themeTint="a5" w:val="auto"/>
      <w:sz w:val="18"/>
      <w:szCs w:val="18"/>
      <w:lang w:eastAsia="ru-RU"/>
    </w:rPr>
  </w:style>
  <w:style w:type="paragraph" w:styleId="Xl106" w:customStyle="1">
    <w:name w:val="xl106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7e4bda"/>
    <w:pPr>
      <w:spacing w:beforeAutospacing="1" w:afterAutospacing="1"/>
    </w:pPr>
    <w:rPr>
      <w:rFonts w:ascii="Times New Roman" w:hAnsi="Times New Roman" w:eastAsia="Times New Roman" w:cs="Times New Roman"/>
      <w:b/>
      <w:bCs/>
      <w:color w:themeColor="text1" w:themeTint="a5" w:val="auto"/>
      <w:lang w:eastAsia="ru-RU"/>
    </w:rPr>
  </w:style>
  <w:style w:type="paragraph" w:styleId="Xl114" w:customStyle="1">
    <w:name w:val="xl114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Times New Roman" w:hAnsi="Times New Roman" w:eastAsia="Times New Roman" w:cs="Times New Roman"/>
      <w:color w:themeColor="text1" w:themeTint="a5" w:val="FF0000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Times New Roman" w:hAnsi="Times New Roman" w:eastAsia="Times New Roman" w:cs="Times New Roman"/>
      <w:color w:themeColor="text1" w:themeTint="a5" w:val="FF0000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themeColor="text1" w:themeTint="a5" w:val="FF0000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7e4bda"/>
    <w:pPr>
      <w:spacing w:beforeAutospacing="1" w:afterAutospacing="1"/>
      <w:jc w:val="center"/>
      <w:textAlignment w:val="top"/>
    </w:pPr>
    <w:rPr>
      <w:rFonts w:ascii="Times New Roman" w:hAnsi="Times New Roman" w:eastAsia="Times New Roman" w:cs="Times New Roman"/>
      <w:b/>
      <w:bCs/>
      <w:color w:themeColor="text1" w:themeTint="a5" w:val="FFFFFF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Times New Roman" w:hAnsi="Times New Roman" w:eastAsia="Times New Roman" w:cs="Times New Roman"/>
      <w:color w:themeColor="text1" w:themeTint="a5" w:val="FF0000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Times New Roman" w:hAnsi="Times New Roman" w:eastAsia="Times New Roman" w:cs="Times New Roman"/>
      <w:b/>
      <w:bCs/>
      <w:color w:themeColor="text1" w:themeTint="a5" w:val="FF0000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Times New Roman" w:hAnsi="Times New Roman" w:eastAsia="Times New Roman" w:cs="Times New Roman"/>
      <w:b/>
      <w:bCs/>
      <w:color w:themeColor="text1" w:themeTint="a5" w:val="FF0000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7e4b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hAnsi="Times New Roman" w:eastAsia="Times New Roman" w:cs="Times New Roman"/>
      <w:color w:themeColor="text1" w:themeTint="a5" w:val="FF0000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7e4bda"/>
    <w:pPr>
      <w:spacing w:beforeAutospacing="1" w:afterAutospacing="1"/>
    </w:pPr>
    <w:rPr>
      <w:rFonts w:ascii="Times New Roman" w:hAnsi="Times New Roman" w:eastAsia="Times New Roman" w:cs="Times New Roman"/>
      <w:color w:themeColor="text1" w:themeTint="a5" w:val="auto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7e4bda"/>
    <w:pPr>
      <w:spacing w:beforeAutospacing="1" w:afterAutospacing="1"/>
      <w:jc w:val="center"/>
      <w:textAlignment w:val="top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7e4bda"/>
    <w:pPr>
      <w:spacing w:beforeAutospacing="1" w:afterAutospacing="1"/>
      <w:jc w:val="center"/>
      <w:textAlignment w:val="top"/>
    </w:pPr>
    <w:rPr>
      <w:rFonts w:ascii="Times New Roman" w:hAnsi="Times New Roman" w:eastAsia="Times New Roman" w:cs="Times New Roman"/>
      <w:b/>
      <w:bCs/>
      <w:color w:themeColor="text1" w:themeTint="a5" w:val="auto"/>
      <w:sz w:val="24"/>
      <w:szCs w:val="24"/>
      <w:lang w:eastAsia="ru-RU"/>
    </w:rPr>
  </w:style>
  <w:style w:type="paragraph" w:styleId="Annotationtext">
    <w:name w:val="annotation text"/>
    <w:basedOn w:val="Normal"/>
    <w:link w:val="Style14"/>
    <w:uiPriority w:val="99"/>
    <w:semiHidden/>
    <w:unhideWhenUsed/>
    <w:qFormat/>
    <w:rsid w:val="00f4603c"/>
    <w:pPr/>
    <w:rPr/>
  </w:style>
  <w:style w:type="paragraph" w:styleId="Annotationsubject">
    <w:name w:val="annotation subject"/>
    <w:basedOn w:val="Annotationtext"/>
    <w:next w:val="Annotationtext"/>
    <w:link w:val="Style15"/>
    <w:uiPriority w:val="99"/>
    <w:semiHidden/>
    <w:unhideWhenUsed/>
    <w:qFormat/>
    <w:rsid w:val="00f4603c"/>
    <w:pPr/>
    <w:rPr>
      <w:b/>
      <w:bCs/>
    </w:rPr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f4603c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Application>LibreOffice/7.6.4.1$Linux_X86_64 LibreOffice_project/60$Build-1</Application>
  <AppVersion>15.0000</AppVersion>
  <Pages>2</Pages>
  <Words>509</Words>
  <Characters>3348</Characters>
  <CharactersWithSpaces>3708</CharactersWithSpaces>
  <Paragraphs>167</Paragraphs>
  <Company>ФГУЗ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2018-03-12T12:59:00Z</dcterms:created>
  <dc:creator>useroold</dc:creator>
  <dc:description/>
  <dc:language>ru-RU</dc:language>
  <cp:lastModifiedBy/>
  <dcterms:modified xsi:type="dcterms:W3CDTF">2024-10-15T11:32:55Z</dcterms:modified>
  <cp:revision>65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